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65"/>
        <w:gridCol w:w="360"/>
        <w:gridCol w:w="618"/>
        <w:gridCol w:w="71"/>
        <w:gridCol w:w="640"/>
        <w:gridCol w:w="387"/>
        <w:gridCol w:w="186"/>
        <w:gridCol w:w="354"/>
        <w:gridCol w:w="632"/>
        <w:gridCol w:w="18"/>
        <w:gridCol w:w="743"/>
        <w:gridCol w:w="217"/>
        <w:gridCol w:w="316"/>
        <w:gridCol w:w="8"/>
        <w:gridCol w:w="288"/>
        <w:gridCol w:w="346"/>
        <w:gridCol w:w="231"/>
        <w:gridCol w:w="304"/>
        <w:gridCol w:w="526"/>
        <w:gridCol w:w="55"/>
        <w:gridCol w:w="200"/>
        <w:gridCol w:w="356"/>
        <w:gridCol w:w="166"/>
        <w:gridCol w:w="235"/>
        <w:gridCol w:w="75"/>
        <w:gridCol w:w="192"/>
        <w:gridCol w:w="636"/>
        <w:gridCol w:w="553"/>
      </w:tblGrid>
      <w:tr w:rsidR="00CD6E89" w:rsidRPr="00D01B34" w:rsidTr="002D5DCD"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Studijski program</w:t>
            </w:r>
          </w:p>
        </w:tc>
        <w:tc>
          <w:tcPr>
            <w:tcW w:w="4228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b/>
                <w:sz w:val="20"/>
                <w:szCs w:val="20"/>
              </w:rPr>
              <w:t>PRIMALJSTVO</w:t>
            </w:r>
          </w:p>
        </w:tc>
      </w:tr>
      <w:tr w:rsidR="00CD6E89" w:rsidRPr="00D01B34" w:rsidTr="002D5DCD"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Ciklus</w:t>
            </w:r>
          </w:p>
        </w:tc>
        <w:tc>
          <w:tcPr>
            <w:tcW w:w="8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Vrsta</w:t>
            </w:r>
          </w:p>
        </w:tc>
        <w:tc>
          <w:tcPr>
            <w:tcW w:w="275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Sveučilišni</w:t>
            </w:r>
          </w:p>
        </w:tc>
      </w:tr>
      <w:tr w:rsidR="00CD6E89" w:rsidRPr="00D01B34" w:rsidTr="002D5DCD"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Smjer</w:t>
            </w:r>
          </w:p>
        </w:tc>
        <w:tc>
          <w:tcPr>
            <w:tcW w:w="8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Modul</w:t>
            </w:r>
          </w:p>
        </w:tc>
        <w:tc>
          <w:tcPr>
            <w:tcW w:w="275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 xml:space="preserve">MEDICINSKA HUMANISTIKA </w:t>
            </w:r>
          </w:p>
        </w:tc>
      </w:tr>
      <w:tr w:rsidR="00CD6E89" w:rsidRPr="00D01B34" w:rsidTr="002D5DCD">
        <w:trPr>
          <w:trHeight w:val="289"/>
        </w:trPr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 xml:space="preserve">Godina studija </w:t>
            </w:r>
          </w:p>
        </w:tc>
        <w:tc>
          <w:tcPr>
            <w:tcW w:w="8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 xml:space="preserve">Semestar </w:t>
            </w:r>
          </w:p>
        </w:tc>
        <w:tc>
          <w:tcPr>
            <w:tcW w:w="275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D6E89" w:rsidRPr="00D01B34" w:rsidTr="002D5DCD"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Naziv predmeta</w:t>
            </w:r>
          </w:p>
        </w:tc>
        <w:tc>
          <w:tcPr>
            <w:tcW w:w="8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b/>
                <w:sz w:val="20"/>
                <w:szCs w:val="20"/>
              </w:rPr>
              <w:t>ENGLESKI JEZIK II</w:t>
            </w:r>
          </w:p>
        </w:tc>
        <w:tc>
          <w:tcPr>
            <w:tcW w:w="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Kod predmeta</w:t>
            </w:r>
          </w:p>
        </w:tc>
        <w:tc>
          <w:tcPr>
            <w:tcW w:w="275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FZSPB436</w:t>
            </w:r>
          </w:p>
        </w:tc>
      </w:tr>
      <w:tr w:rsidR="00CD6E89" w:rsidRPr="00D01B34" w:rsidTr="002D5DCD"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ECTS</w:t>
            </w:r>
          </w:p>
        </w:tc>
        <w:tc>
          <w:tcPr>
            <w:tcW w:w="8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Status</w:t>
            </w:r>
          </w:p>
        </w:tc>
        <w:tc>
          <w:tcPr>
            <w:tcW w:w="275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 xml:space="preserve">obvezni  </w:t>
            </w:r>
          </w:p>
        </w:tc>
      </w:tr>
      <w:tr w:rsidR="00CD6E89" w:rsidRPr="00D01B34" w:rsidTr="00CD6E89">
        <w:tc>
          <w:tcPr>
            <w:tcW w:w="2243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Broj sati nastave</w:t>
            </w:r>
          </w:p>
        </w:tc>
        <w:tc>
          <w:tcPr>
            <w:tcW w:w="7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</w:p>
        </w:tc>
        <w:tc>
          <w:tcPr>
            <w:tcW w:w="5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Seminari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Praksa</w:t>
            </w:r>
          </w:p>
        </w:tc>
      </w:tr>
      <w:tr w:rsidR="00CD6E89" w:rsidRPr="00D01B34" w:rsidTr="00CD6E89">
        <w:tc>
          <w:tcPr>
            <w:tcW w:w="2243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CD6E89" w:rsidRPr="00D01B34" w:rsidTr="00CD6E89">
        <w:tc>
          <w:tcPr>
            <w:tcW w:w="1121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Nastavnici </w:t>
            </w:r>
          </w:p>
        </w:tc>
        <w:tc>
          <w:tcPr>
            <w:tcW w:w="1122" w:type="pct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931FD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 sc. Kaja Mandić, docent</w:t>
            </w:r>
          </w:p>
        </w:tc>
        <w:tc>
          <w:tcPr>
            <w:tcW w:w="7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931FD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931FD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931FD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617360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CD6E89" w:rsidRPr="00D01B34" w:rsidTr="002D5DCD">
        <w:trPr>
          <w:trHeight w:val="282"/>
        </w:trPr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Ciljevi predmeta</w:t>
            </w:r>
          </w:p>
        </w:tc>
        <w:tc>
          <w:tcPr>
            <w:tcW w:w="4228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Cilj nastave je stjecanje akademskih vještina koristeći engleski jezik struke. Studenti ovladaju općim medicinskim nazivljem i stručnim pojmovima sestrinstva i primaljstva.</w:t>
            </w:r>
          </w:p>
        </w:tc>
      </w:tr>
      <w:tr w:rsidR="00CD6E89" w:rsidRPr="00D01B34" w:rsidTr="00CD6E89">
        <w:trPr>
          <w:trHeight w:val="135"/>
        </w:trPr>
        <w:tc>
          <w:tcPr>
            <w:tcW w:w="7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Ishodi učenja predmeta</w:t>
            </w:r>
          </w:p>
        </w:tc>
        <w:tc>
          <w:tcPr>
            <w:tcW w:w="19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Ishod učenja</w:t>
            </w:r>
          </w:p>
        </w:tc>
        <w:tc>
          <w:tcPr>
            <w:tcW w:w="102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Kod ishoda učenja predmeta</w:t>
            </w:r>
          </w:p>
        </w:tc>
        <w:tc>
          <w:tcPr>
            <w:tcW w:w="12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Kod ishoda učenja na razini studijskoga programa</w:t>
            </w:r>
          </w:p>
        </w:tc>
      </w:tr>
      <w:tr w:rsidR="00CD6E89" w:rsidRPr="00D01B34" w:rsidTr="00CD6E89">
        <w:trPr>
          <w:trHeight w:val="135"/>
        </w:trPr>
        <w:tc>
          <w:tcPr>
            <w:tcW w:w="7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Razvija opće jezične kompetencije vezane za receptivne i produktivne vještine stranog jezika</w:t>
            </w:r>
          </w:p>
        </w:tc>
        <w:tc>
          <w:tcPr>
            <w:tcW w:w="102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IU-FZSPB436-1</w:t>
            </w:r>
          </w:p>
        </w:tc>
        <w:tc>
          <w:tcPr>
            <w:tcW w:w="12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FZSPB-IU-18</w:t>
            </w:r>
          </w:p>
        </w:tc>
      </w:tr>
      <w:tr w:rsidR="00CD6E89" w:rsidRPr="00D01B34" w:rsidTr="00CD6E89">
        <w:trPr>
          <w:trHeight w:val="135"/>
        </w:trPr>
        <w:tc>
          <w:tcPr>
            <w:tcW w:w="7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Razvija sposobnost razumijevanja i prijevoda stručnog nazivlja s engleskog i na engleski jezik</w:t>
            </w:r>
          </w:p>
        </w:tc>
        <w:tc>
          <w:tcPr>
            <w:tcW w:w="102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IU-FZSPB436-2</w:t>
            </w:r>
          </w:p>
        </w:tc>
        <w:tc>
          <w:tcPr>
            <w:tcW w:w="12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FZSPB-IU-18</w:t>
            </w:r>
          </w:p>
        </w:tc>
      </w:tr>
      <w:tr w:rsidR="00CD6E89" w:rsidRPr="00D01B34" w:rsidTr="00CD6E89">
        <w:trPr>
          <w:trHeight w:val="135"/>
        </w:trPr>
        <w:tc>
          <w:tcPr>
            <w:tcW w:w="7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Prati stručnu literaturu na engleskom jeziku</w:t>
            </w:r>
          </w:p>
        </w:tc>
        <w:tc>
          <w:tcPr>
            <w:tcW w:w="102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IU-FZSPB436-3</w:t>
            </w:r>
          </w:p>
        </w:tc>
        <w:tc>
          <w:tcPr>
            <w:tcW w:w="12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FZSPB-IU-18</w:t>
            </w:r>
          </w:p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FZSPB-IU-17</w:t>
            </w:r>
          </w:p>
        </w:tc>
      </w:tr>
      <w:tr w:rsidR="00CD6E89" w:rsidRPr="00D01B34" w:rsidTr="00CD6E89">
        <w:trPr>
          <w:trHeight w:val="135"/>
        </w:trPr>
        <w:tc>
          <w:tcPr>
            <w:tcW w:w="7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Razvija vještine pronalaženja, sažimanja i prezentacije podataka i informacija na engleskom jeziku</w:t>
            </w:r>
          </w:p>
        </w:tc>
        <w:tc>
          <w:tcPr>
            <w:tcW w:w="102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IU-FZSPB436-4</w:t>
            </w:r>
          </w:p>
        </w:tc>
        <w:tc>
          <w:tcPr>
            <w:tcW w:w="12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FZSPB-IU-18</w:t>
            </w:r>
          </w:p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FZSPB-IU-16</w:t>
            </w:r>
          </w:p>
        </w:tc>
      </w:tr>
      <w:tr w:rsidR="00CD6E89" w:rsidRPr="00D01B34" w:rsidTr="002D5DCD">
        <w:trPr>
          <w:trHeight w:val="135"/>
        </w:trPr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Preduvjeti za upis predmeta</w:t>
            </w:r>
          </w:p>
        </w:tc>
        <w:tc>
          <w:tcPr>
            <w:tcW w:w="4228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Položen  FZSPB216</w:t>
            </w:r>
          </w:p>
        </w:tc>
      </w:tr>
      <w:tr w:rsidR="00CD6E89" w:rsidRPr="00D01B34" w:rsidTr="00CD6E89">
        <w:trPr>
          <w:trHeight w:val="135"/>
        </w:trPr>
        <w:tc>
          <w:tcPr>
            <w:tcW w:w="7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Sadržaj predmeta</w:t>
            </w:r>
          </w:p>
        </w:tc>
        <w:tc>
          <w:tcPr>
            <w:tcW w:w="8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Tjedan / turnus</w:t>
            </w:r>
          </w:p>
        </w:tc>
        <w:tc>
          <w:tcPr>
            <w:tcW w:w="3359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Tema</w:t>
            </w:r>
          </w:p>
        </w:tc>
      </w:tr>
      <w:tr w:rsidR="00CD6E89" w:rsidRPr="00D01B34" w:rsidTr="00CD6E89">
        <w:trPr>
          <w:trHeight w:val="135"/>
        </w:trPr>
        <w:tc>
          <w:tcPr>
            <w:tcW w:w="7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9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Infant Feeding</w:t>
            </w:r>
          </w:p>
        </w:tc>
      </w:tr>
      <w:tr w:rsidR="00CD6E89" w:rsidRPr="00D01B34" w:rsidTr="00CD6E89">
        <w:trPr>
          <w:trHeight w:val="135"/>
        </w:trPr>
        <w:tc>
          <w:tcPr>
            <w:tcW w:w="7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59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Public health and midwifery</w:t>
            </w:r>
          </w:p>
        </w:tc>
      </w:tr>
      <w:tr w:rsidR="00CD6E89" w:rsidRPr="00D01B34" w:rsidTr="00CD6E89">
        <w:trPr>
          <w:trHeight w:val="135"/>
        </w:trPr>
        <w:tc>
          <w:tcPr>
            <w:tcW w:w="7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59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Family planning</w:t>
            </w:r>
          </w:p>
        </w:tc>
      </w:tr>
      <w:tr w:rsidR="00CD6E89" w:rsidRPr="00D01B34" w:rsidTr="00CD6E89">
        <w:trPr>
          <w:trHeight w:val="135"/>
        </w:trPr>
        <w:tc>
          <w:tcPr>
            <w:tcW w:w="7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59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Perinatal mental health</w:t>
            </w:r>
          </w:p>
        </w:tc>
      </w:tr>
      <w:tr w:rsidR="00CD6E89" w:rsidRPr="00D01B34" w:rsidTr="00CD6E89">
        <w:trPr>
          <w:trHeight w:val="135"/>
        </w:trPr>
        <w:tc>
          <w:tcPr>
            <w:tcW w:w="7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59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Revision and Presentations</w:t>
            </w:r>
          </w:p>
        </w:tc>
      </w:tr>
      <w:tr w:rsidR="00CD6E89" w:rsidRPr="00D01B34" w:rsidTr="002D5DCD">
        <w:trPr>
          <w:trHeight w:val="135"/>
        </w:trPr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 xml:space="preserve">Jezik </w:t>
            </w:r>
          </w:p>
        </w:tc>
        <w:tc>
          <w:tcPr>
            <w:tcW w:w="4228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 xml:space="preserve">Hrvatski jezik/Engleski jezik </w:t>
            </w:r>
          </w:p>
        </w:tc>
      </w:tr>
      <w:tr w:rsidR="00CD6E89" w:rsidRPr="00D01B34" w:rsidTr="002D5DCD">
        <w:trPr>
          <w:trHeight w:val="135"/>
        </w:trPr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E-učenje</w:t>
            </w:r>
          </w:p>
        </w:tc>
        <w:tc>
          <w:tcPr>
            <w:tcW w:w="4228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tabs>
                <w:tab w:val="left" w:pos="327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 xml:space="preserve">G-Suite </w:t>
            </w:r>
          </w:p>
        </w:tc>
      </w:tr>
      <w:tr w:rsidR="00CD6E89" w:rsidRPr="00D01B34" w:rsidTr="002D5DCD">
        <w:trPr>
          <w:trHeight w:val="135"/>
        </w:trPr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Metode poučavanja</w:t>
            </w:r>
          </w:p>
        </w:tc>
        <w:tc>
          <w:tcPr>
            <w:tcW w:w="4228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9" w:rsidRPr="00D01B34" w:rsidRDefault="00CD6E89" w:rsidP="002D5DCD">
            <w:pPr>
              <w:tabs>
                <w:tab w:val="left" w:pos="340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CLT metoda, suradnička metoda, CBI</w:t>
            </w:r>
          </w:p>
        </w:tc>
      </w:tr>
      <w:tr w:rsidR="00CD6E89" w:rsidRPr="00D01B34" w:rsidTr="002D5DCD">
        <w:trPr>
          <w:trHeight w:val="135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Oblici provjere znanja (označiti)</w:t>
            </w:r>
          </w:p>
        </w:tc>
      </w:tr>
      <w:tr w:rsidR="00CD6E89" w:rsidRPr="00D01B34" w:rsidTr="002D5DCD">
        <w:trPr>
          <w:trHeight w:val="135"/>
        </w:trPr>
        <w:tc>
          <w:tcPr>
            <w:tcW w:w="3331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Vrsta predispitne obveze</w:t>
            </w:r>
          </w:p>
        </w:tc>
        <w:tc>
          <w:tcPr>
            <w:tcW w:w="166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Vrsta ispita</w:t>
            </w:r>
          </w:p>
        </w:tc>
      </w:tr>
      <w:tr w:rsidR="00CD6E89" w:rsidRPr="00D01B34" w:rsidTr="00CD6E89">
        <w:trPr>
          <w:trHeight w:val="135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kolokvij</w:t>
            </w:r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seminarski rad</w:t>
            </w:r>
          </w:p>
        </w:tc>
        <w:tc>
          <w:tcPr>
            <w:tcW w:w="6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89" w:rsidRPr="00A521CE" w:rsidRDefault="00CD6E89" w:rsidP="002D5D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21CE">
              <w:rPr>
                <w:rFonts w:asciiTheme="minorHAnsi" w:hAnsiTheme="minorHAnsi" w:cstheme="minorHAnsi"/>
                <w:b/>
                <w:sz w:val="20"/>
                <w:szCs w:val="20"/>
              </w:rPr>
              <w:t>esej/referat</w:t>
            </w:r>
          </w:p>
        </w:tc>
        <w:tc>
          <w:tcPr>
            <w:tcW w:w="11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praktični/projektni zadatak</w:t>
            </w:r>
          </w:p>
        </w:tc>
        <w:tc>
          <w:tcPr>
            <w:tcW w:w="4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01B3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ostalo</w:t>
            </w:r>
          </w:p>
        </w:tc>
        <w:tc>
          <w:tcPr>
            <w:tcW w:w="5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89" w:rsidRPr="00A521CE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1CE">
              <w:rPr>
                <w:rFonts w:asciiTheme="minorHAnsi" w:hAnsiTheme="minorHAnsi" w:cstheme="minorHAnsi"/>
                <w:sz w:val="20"/>
                <w:szCs w:val="20"/>
              </w:rPr>
              <w:t>pismeni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89" w:rsidRPr="00A521CE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1CE">
              <w:rPr>
                <w:rFonts w:asciiTheme="minorHAnsi" w:hAnsiTheme="minorHAnsi" w:cstheme="minorHAnsi"/>
                <w:sz w:val="20"/>
                <w:szCs w:val="20"/>
              </w:rPr>
              <w:t>Usmeni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praktični</w:t>
            </w:r>
          </w:p>
        </w:tc>
      </w:tr>
      <w:tr w:rsidR="00CD6E89" w:rsidRPr="00D01B34" w:rsidTr="002D5DCD">
        <w:trPr>
          <w:trHeight w:val="251"/>
        </w:trPr>
        <w:tc>
          <w:tcPr>
            <w:tcW w:w="5000" w:type="pct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Alokacija ECTS bodova i udjela u ocjeni</w:t>
            </w:r>
          </w:p>
        </w:tc>
      </w:tr>
      <w:tr w:rsidR="00CD6E89" w:rsidRPr="00D01B34" w:rsidTr="00CD6E89">
        <w:trPr>
          <w:trHeight w:val="251"/>
        </w:trPr>
        <w:tc>
          <w:tcPr>
            <w:tcW w:w="144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Obveze studenata</w:t>
            </w:r>
          </w:p>
        </w:tc>
        <w:tc>
          <w:tcPr>
            <w:tcW w:w="79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Kod ishoda učenja</w:t>
            </w:r>
          </w:p>
        </w:tc>
        <w:tc>
          <w:tcPr>
            <w:tcW w:w="1088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Sati opterećenja</w:t>
            </w:r>
          </w:p>
        </w:tc>
        <w:tc>
          <w:tcPr>
            <w:tcW w:w="72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Udio u ECTS-u</w:t>
            </w:r>
          </w:p>
        </w:tc>
        <w:tc>
          <w:tcPr>
            <w:tcW w:w="94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Udio u ocjeni</w:t>
            </w:r>
          </w:p>
        </w:tc>
      </w:tr>
      <w:tr w:rsidR="00CD6E89" w:rsidRPr="00D01B34" w:rsidTr="00CD6E89">
        <w:trPr>
          <w:trHeight w:val="251"/>
        </w:trPr>
        <w:tc>
          <w:tcPr>
            <w:tcW w:w="144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Pohađanje nastave i aktivno sudjelovanje</w:t>
            </w:r>
          </w:p>
        </w:tc>
        <w:tc>
          <w:tcPr>
            <w:tcW w:w="79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IU-FZSPB436-1</w:t>
            </w:r>
          </w:p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IU-FZSPB436-2</w:t>
            </w:r>
          </w:p>
        </w:tc>
        <w:tc>
          <w:tcPr>
            <w:tcW w:w="1088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72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94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A521CE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D6E89" w:rsidRPr="00D01B34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</w:tr>
      <w:tr w:rsidR="00CD6E89" w:rsidRPr="00D01B34" w:rsidTr="00CD6E89">
        <w:trPr>
          <w:trHeight w:val="251"/>
        </w:trPr>
        <w:tc>
          <w:tcPr>
            <w:tcW w:w="144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A521CE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Predrok/Referat</w:t>
            </w:r>
          </w:p>
        </w:tc>
        <w:tc>
          <w:tcPr>
            <w:tcW w:w="79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IU-FZSPB436-3</w:t>
            </w:r>
          </w:p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IU-FZSPB436-4</w:t>
            </w:r>
          </w:p>
        </w:tc>
        <w:tc>
          <w:tcPr>
            <w:tcW w:w="1088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2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  <w:tc>
          <w:tcPr>
            <w:tcW w:w="94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89" w:rsidRPr="00D01B34" w:rsidRDefault="00A521CE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D6E89" w:rsidRPr="00D01B34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</w:tr>
      <w:tr w:rsidR="00CD6E89" w:rsidRPr="00D01B34" w:rsidTr="00CD6E89">
        <w:trPr>
          <w:trHeight w:val="251"/>
        </w:trPr>
        <w:tc>
          <w:tcPr>
            <w:tcW w:w="224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Ukupno</w:t>
            </w:r>
          </w:p>
        </w:tc>
        <w:tc>
          <w:tcPr>
            <w:tcW w:w="1088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72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94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</w:tr>
      <w:tr w:rsidR="00CD6E89" w:rsidRPr="00D01B34" w:rsidTr="002D5DCD">
        <w:trPr>
          <w:trHeight w:val="115"/>
        </w:trPr>
        <w:tc>
          <w:tcPr>
            <w:tcW w:w="5000" w:type="pct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D6E89" w:rsidRPr="00D01B34" w:rsidRDefault="00CD6E89" w:rsidP="002D5D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Način izračuna konačne ocjene</w:t>
            </w:r>
          </w:p>
        </w:tc>
      </w:tr>
      <w:tr w:rsidR="00617D51" w:rsidRPr="00D01B34" w:rsidTr="002D5DCD">
        <w:trPr>
          <w:trHeight w:val="115"/>
        </w:trPr>
        <w:tc>
          <w:tcPr>
            <w:tcW w:w="5000" w:type="pct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51" w:rsidRPr="00F5180F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0" w:name="_GoBack" w:colFirst="0" w:colLast="0"/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>Pohađanje nastave:</w:t>
            </w:r>
          </w:p>
          <w:p w:rsidR="00617D51" w:rsidRPr="00F5180F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neredoviti dolasci =  0% ocjene </w:t>
            </w:r>
          </w:p>
          <w:p w:rsidR="00617D51" w:rsidRPr="00F5180F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redoviti dolasci bez aktivnosti =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% ocjene </w:t>
            </w:r>
          </w:p>
          <w:p w:rsidR="00617D51" w:rsidRPr="00F5180F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- aktivnost samo na poticaj nastavnika =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% ocjene </w:t>
            </w:r>
          </w:p>
          <w:p w:rsidR="00617D51" w:rsidRPr="00F5180F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samoinicijativna aktivnost =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17</w:t>
            </w: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% ocjene </w:t>
            </w:r>
          </w:p>
          <w:p w:rsidR="00617D51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samoinicijativna aktivnost s kvalitetnom raspravom  =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>0% ocjene</w:t>
            </w:r>
          </w:p>
          <w:p w:rsidR="00617D51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617D51" w:rsidRPr="00A521CE" w:rsidRDefault="00617D51" w:rsidP="00617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1CE">
              <w:rPr>
                <w:rFonts w:asciiTheme="minorHAnsi" w:hAnsiTheme="minorHAnsi" w:cstheme="minorHAnsi"/>
                <w:sz w:val="20"/>
                <w:szCs w:val="20"/>
              </w:rPr>
              <w:t>Izlaganje seminarskog rada (za postotak iz primjera):</w:t>
            </w:r>
          </w:p>
          <w:p w:rsidR="00617D51" w:rsidRPr="00A521CE" w:rsidRDefault="00617D51" w:rsidP="00617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1CE">
              <w:rPr>
                <w:rFonts w:asciiTheme="minorHAnsi" w:hAnsiTheme="minorHAnsi" w:cstheme="minorHAnsi"/>
                <w:sz w:val="20"/>
                <w:szCs w:val="20"/>
              </w:rPr>
              <w:t>- Rad nije usmeno prezentiran. = 0%</w:t>
            </w:r>
          </w:p>
          <w:p w:rsidR="00617D51" w:rsidRPr="00A521CE" w:rsidRDefault="00617D51" w:rsidP="00617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Rad je pročitan. = 16,5</w:t>
            </w:r>
            <w:r w:rsidRPr="00A521C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  <w:p w:rsidR="00617D51" w:rsidRPr="00A521CE" w:rsidRDefault="00617D51" w:rsidP="00617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1CE">
              <w:rPr>
                <w:rFonts w:asciiTheme="minorHAnsi" w:hAnsiTheme="minorHAnsi" w:cstheme="minorHAnsi"/>
                <w:sz w:val="20"/>
                <w:szCs w:val="20"/>
              </w:rPr>
              <w:t>- Rad je djelomičn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pročitan i nepripremljen. = 21</w:t>
            </w:r>
            <w:r w:rsidRPr="00A521CE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</w:p>
          <w:p w:rsidR="00617D51" w:rsidRPr="00A521CE" w:rsidRDefault="00617D51" w:rsidP="00617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1CE">
              <w:rPr>
                <w:rFonts w:asciiTheme="minorHAnsi" w:hAnsiTheme="minorHAnsi" w:cstheme="minorHAnsi"/>
                <w:sz w:val="20"/>
                <w:szCs w:val="20"/>
              </w:rPr>
              <w:t xml:space="preserve">- Izlaganje je dobro pripremljeno, ali su uočeni neki nedostatci u izlaganju. =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25,5</w:t>
            </w:r>
            <w:r w:rsidRPr="00A521C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  <w:p w:rsidR="00617D51" w:rsidRPr="00A521CE" w:rsidRDefault="00617D51" w:rsidP="00617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1CE">
              <w:rPr>
                <w:rFonts w:asciiTheme="minorHAnsi" w:hAnsiTheme="minorHAnsi" w:cstheme="minorHAnsi"/>
                <w:sz w:val="20"/>
                <w:szCs w:val="20"/>
              </w:rPr>
              <w:t>- Usmeno izlaganje je izvr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sno pripremljeno. = 3</w:t>
            </w:r>
            <w:r w:rsidRPr="00A521CE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  <w:p w:rsidR="00617D51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617D51" w:rsidRPr="00F5180F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Predrok</w:t>
            </w: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>/Završni pismeni ispit</w:t>
            </w:r>
          </w:p>
          <w:p w:rsidR="00617D51" w:rsidRPr="00F5180F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manje od 55% točnih odgovora  =  0% ocjene </w:t>
            </w:r>
          </w:p>
          <w:p w:rsidR="00617D51" w:rsidRPr="00F5180F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od 55% do 66% točnih odgovora  =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27,5</w:t>
            </w: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% ocjene </w:t>
            </w:r>
          </w:p>
          <w:p w:rsidR="00617D51" w:rsidRPr="00F5180F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od 67% do 78% točnih odgovora  =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% ocjene </w:t>
            </w:r>
          </w:p>
          <w:p w:rsidR="00617D51" w:rsidRPr="00F5180F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od 79% do 90% točnih odgovora  =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42,5</w:t>
            </w: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% ocjene </w:t>
            </w:r>
          </w:p>
          <w:p w:rsidR="00617D51" w:rsidRPr="00F5180F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od 91% do 100% točnih odgovora =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50</w:t>
            </w:r>
            <w:r w:rsidRPr="00F518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% ocjene </w:t>
            </w:r>
          </w:p>
          <w:p w:rsidR="00617D51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7D51" w:rsidRPr="00736ECB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D2ECE">
              <w:rPr>
                <w:rFonts w:asciiTheme="minorHAnsi" w:hAnsiTheme="minorHAnsi" w:cstheme="minorHAnsi"/>
                <w:sz w:val="20"/>
                <w:szCs w:val="20"/>
              </w:rPr>
              <w:t>Definiranje minimalnog udjela za prolaznu ocjenu i postotnih razreda za svaku ocjenu (Pravilnik o studiranju Sveučilišta u Mostaru):</w:t>
            </w:r>
          </w:p>
          <w:p w:rsidR="00617D51" w:rsidRPr="00ED2ECE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2ECE">
              <w:rPr>
                <w:rFonts w:asciiTheme="minorHAnsi" w:hAnsiTheme="minorHAnsi" w:cstheme="minorHAnsi"/>
                <w:sz w:val="20"/>
                <w:szCs w:val="20"/>
              </w:rPr>
              <w:t xml:space="preserve">    0 – 54% nedovoljan (1)</w:t>
            </w:r>
          </w:p>
          <w:p w:rsidR="00617D51" w:rsidRPr="00ED2ECE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2ECE">
              <w:rPr>
                <w:rFonts w:asciiTheme="minorHAnsi" w:hAnsiTheme="minorHAnsi" w:cstheme="minorHAnsi"/>
                <w:sz w:val="20"/>
                <w:szCs w:val="20"/>
              </w:rPr>
              <w:t xml:space="preserve">    55 – 66% dovoljan (2)</w:t>
            </w:r>
          </w:p>
          <w:p w:rsidR="00617D51" w:rsidRPr="00ED2ECE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2ECE">
              <w:rPr>
                <w:rFonts w:asciiTheme="minorHAnsi" w:hAnsiTheme="minorHAnsi" w:cstheme="minorHAnsi"/>
                <w:sz w:val="20"/>
                <w:szCs w:val="20"/>
              </w:rPr>
              <w:t xml:space="preserve">    67 – 78% dobar (3)</w:t>
            </w:r>
          </w:p>
          <w:p w:rsidR="00617D51" w:rsidRPr="00ED2ECE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2ECE">
              <w:rPr>
                <w:rFonts w:asciiTheme="minorHAnsi" w:hAnsiTheme="minorHAnsi" w:cstheme="minorHAnsi"/>
                <w:sz w:val="20"/>
                <w:szCs w:val="20"/>
              </w:rPr>
              <w:t xml:space="preserve">    79 – 90% vrlodobar (4)</w:t>
            </w:r>
          </w:p>
          <w:p w:rsidR="00617D51" w:rsidRPr="00ED2ECE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2ECE">
              <w:rPr>
                <w:rFonts w:asciiTheme="minorHAnsi" w:hAnsiTheme="minorHAnsi" w:cstheme="minorHAnsi"/>
                <w:sz w:val="20"/>
                <w:szCs w:val="20"/>
              </w:rPr>
              <w:t xml:space="preserve">    91 – 100% odličan (5)</w:t>
            </w:r>
          </w:p>
        </w:tc>
      </w:tr>
      <w:bookmarkEnd w:id="0"/>
      <w:tr w:rsidR="00617D51" w:rsidRPr="00D01B34" w:rsidTr="002D5DCD">
        <w:trPr>
          <w:trHeight w:val="115"/>
        </w:trPr>
        <w:tc>
          <w:tcPr>
            <w:tcW w:w="5000" w:type="pct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Alokacija ECTS bodova, obveze i način izračuna konačne ocjene za izvanredne studente </w:t>
            </w:r>
          </w:p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(ako ih ima):</w:t>
            </w:r>
          </w:p>
        </w:tc>
      </w:tr>
      <w:tr w:rsidR="00617D51" w:rsidRPr="00D01B34" w:rsidTr="002D5DCD">
        <w:trPr>
          <w:trHeight w:val="115"/>
        </w:trPr>
        <w:tc>
          <w:tcPr>
            <w:tcW w:w="5000" w:type="pct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51" w:rsidRPr="00D01B34" w:rsidRDefault="00617D51" w:rsidP="00617D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eastAsia="Calibri" w:hAnsiTheme="minorHAnsi" w:cstheme="minorHAnsi"/>
                <w:sz w:val="20"/>
                <w:szCs w:val="20"/>
              </w:rPr>
              <w:t>Izvanredni studenti su obvezni pohađati 50% teoretske nastave i 100% praktične nastave. Kao alternativu obvezi pohađanja nastave, izvanredni studenti imaju obvezu napisati referat za zadanu temu. Referat ne ulazi u izračun konačne ocjene, te se konačna ocjena definira na isti način kao kod redovitih studenata.</w:t>
            </w:r>
          </w:p>
        </w:tc>
      </w:tr>
      <w:tr w:rsidR="00617D51" w:rsidRPr="00D01B34" w:rsidTr="002D5DCD">
        <w:trPr>
          <w:trHeight w:val="282"/>
        </w:trPr>
        <w:tc>
          <w:tcPr>
            <w:tcW w:w="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17D51" w:rsidRPr="00D01B34" w:rsidRDefault="00617D51" w:rsidP="00617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Literatura</w:t>
            </w:r>
          </w:p>
          <w:p w:rsidR="00617D51" w:rsidRPr="00D01B34" w:rsidRDefault="00617D51" w:rsidP="00617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(označiti)</w:t>
            </w:r>
          </w:p>
        </w:tc>
        <w:tc>
          <w:tcPr>
            <w:tcW w:w="1324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Naslov</w:t>
            </w:r>
          </w:p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(naziv, autor, godina)</w:t>
            </w:r>
          </w:p>
        </w:tc>
        <w:tc>
          <w:tcPr>
            <w:tcW w:w="9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Izdanje</w:t>
            </w:r>
          </w:p>
        </w:tc>
        <w:tc>
          <w:tcPr>
            <w:tcW w:w="8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Jezik</w:t>
            </w:r>
          </w:p>
        </w:tc>
        <w:tc>
          <w:tcPr>
            <w:tcW w:w="122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Vrsta djela</w:t>
            </w:r>
          </w:p>
        </w:tc>
      </w:tr>
      <w:tr w:rsidR="00617D51" w:rsidRPr="00D01B34" w:rsidTr="00CD6E89">
        <w:trPr>
          <w:trHeight w:val="282"/>
        </w:trPr>
        <w:tc>
          <w:tcPr>
            <w:tcW w:w="5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17D51" w:rsidRPr="00D01B34" w:rsidRDefault="00617D51" w:rsidP="00617D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vlastito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ost.</w:t>
            </w:r>
          </w:p>
        </w:tc>
        <w:tc>
          <w:tcPr>
            <w:tcW w:w="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hrv.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engl.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ost.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višejez.</w:t>
            </w:r>
          </w:p>
        </w:tc>
        <w:tc>
          <w:tcPr>
            <w:tcW w:w="3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</w:p>
        </w:tc>
        <w:tc>
          <w:tcPr>
            <w:tcW w:w="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Članak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skripta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ostalo</w:t>
            </w:r>
          </w:p>
        </w:tc>
      </w:tr>
      <w:tr w:rsidR="00617D51" w:rsidRPr="00D01B34" w:rsidTr="00CD6E89">
        <w:trPr>
          <w:trHeight w:val="282"/>
        </w:trPr>
        <w:tc>
          <w:tcPr>
            <w:tcW w:w="59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17D51" w:rsidRPr="00D01B34" w:rsidRDefault="00617D51" w:rsidP="00617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Obvezna</w:t>
            </w:r>
          </w:p>
        </w:tc>
        <w:tc>
          <w:tcPr>
            <w:tcW w:w="1324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Odabrana poglavlja iz:</w:t>
            </w:r>
          </w:p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 xml:space="preserve">Lewis, L. (2015). </w:t>
            </w:r>
            <w:r w:rsidRPr="00D01B34">
              <w:rPr>
                <w:rFonts w:asciiTheme="minorHAnsi" w:hAnsiTheme="minorHAnsi" w:cstheme="minorHAnsi"/>
                <w:i/>
                <w:sz w:val="20"/>
                <w:szCs w:val="20"/>
              </w:rPr>
              <w:t>Fundamentals of Midwifery: a Textbook for Students. Chicester: Wiley &amp; Sons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51" w:rsidRPr="00D01B34" w:rsidTr="00CD6E89">
        <w:trPr>
          <w:trHeight w:val="282"/>
        </w:trPr>
        <w:tc>
          <w:tcPr>
            <w:tcW w:w="5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17D51" w:rsidRPr="00D01B34" w:rsidRDefault="00617D51" w:rsidP="00617D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Odabrana poglavlja iz:</w:t>
            </w:r>
          </w:p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 xml:space="preserve">Peate, I. i Nair, M. (2017) </w:t>
            </w:r>
            <w:r w:rsidRPr="00D01B34">
              <w:rPr>
                <w:rFonts w:asciiTheme="minorHAnsi" w:hAnsiTheme="minorHAnsi" w:cstheme="minorHAnsi"/>
                <w:i/>
                <w:sz w:val="20"/>
                <w:szCs w:val="20"/>
              </w:rPr>
              <w:t>Fundamentals of Anatomy and Physiology for Nursing and Healthcare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51" w:rsidRPr="00D01B34" w:rsidTr="00CD6E89">
        <w:trPr>
          <w:trHeight w:val="282"/>
        </w:trPr>
        <w:tc>
          <w:tcPr>
            <w:tcW w:w="59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17D51" w:rsidRPr="00D01B34" w:rsidRDefault="00617D51" w:rsidP="00617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Dopunska</w:t>
            </w:r>
          </w:p>
        </w:tc>
        <w:tc>
          <w:tcPr>
            <w:tcW w:w="1324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Odabrani članci iz znanstvenih/stručnih časopisa iz primaljstva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51" w:rsidRPr="00D01B34" w:rsidTr="002D5DCD">
        <w:trPr>
          <w:trHeight w:val="135"/>
        </w:trPr>
        <w:tc>
          <w:tcPr>
            <w:tcW w:w="19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7D51" w:rsidRPr="00D01B34" w:rsidRDefault="00617D51" w:rsidP="00617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>Dodatne informacije o predmetu</w:t>
            </w:r>
          </w:p>
        </w:tc>
        <w:tc>
          <w:tcPr>
            <w:tcW w:w="3086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51" w:rsidRPr="00D01B34" w:rsidRDefault="00617D51" w:rsidP="00617D5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1B34">
              <w:rPr>
                <w:rFonts w:asciiTheme="minorHAnsi" w:hAnsiTheme="minorHAnsi" w:cstheme="minorHAnsi"/>
                <w:sz w:val="20"/>
                <w:szCs w:val="20"/>
              </w:rPr>
              <w:t xml:space="preserve">Studenti su obvezni redovito pohađati i aktivno sudjelovati u svim oblicima nastave. </w:t>
            </w:r>
            <w:r w:rsidRPr="00D01B34">
              <w:rPr>
                <w:rFonts w:asciiTheme="minorHAnsi" w:hAnsiTheme="minorHAnsi" w:cstheme="minorHAnsi"/>
                <w:sz w:val="20"/>
                <w:szCs w:val="20"/>
                <w:lang w:eastAsia="hr-BA"/>
              </w:rPr>
              <w:t>Izvanredni studenti trebaju odslušati najmanje 50% predavanja i seminara (po svom izboru). Redoviti studenti moraju obaviti svu nastavu odnosno opravdano izostati do granice propisane Statutom Fakulteta zdravstvenih studija.</w:t>
            </w:r>
          </w:p>
        </w:tc>
      </w:tr>
    </w:tbl>
    <w:p w:rsidR="000A0376" w:rsidRDefault="000A0376"/>
    <w:sectPr w:rsidR="000A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E0"/>
    <w:rsid w:val="000A0376"/>
    <w:rsid w:val="00617360"/>
    <w:rsid w:val="00617D51"/>
    <w:rsid w:val="00931FD9"/>
    <w:rsid w:val="00A521CE"/>
    <w:rsid w:val="00B73CE0"/>
    <w:rsid w:val="00C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7747A-0F18-4B39-A894-3C93E404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A521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21CE"/>
    <w:rPr>
      <w:sz w:val="20"/>
      <w:szCs w:val="20"/>
      <w:lang w:val="en-US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521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21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1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7</cp:revision>
  <dcterms:created xsi:type="dcterms:W3CDTF">2023-04-26T09:48:00Z</dcterms:created>
  <dcterms:modified xsi:type="dcterms:W3CDTF">2023-11-15T11:23:00Z</dcterms:modified>
</cp:coreProperties>
</file>